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B9656E">
        <w:rPr>
          <w:sz w:val="22"/>
          <w:szCs w:val="22"/>
        </w:rPr>
        <w:t>___/21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4C0927">
        <w:rPr>
          <w:sz w:val="22"/>
          <w:szCs w:val="22"/>
        </w:rPr>
        <w:t>2021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</w:t>
      </w:r>
      <w:proofErr w:type="gramEnd"/>
      <w:r w:rsidR="005D6C62" w:rsidRPr="0012313D">
        <w:rPr>
          <w:sz w:val="22"/>
          <w:szCs w:val="22"/>
        </w:rPr>
        <w:t>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3C513C">
        <w:rPr>
          <w:sz w:val="22"/>
          <w:szCs w:val="22"/>
        </w:rPr>
        <w:t>_____</w:t>
      </w:r>
      <w:r w:rsidR="00B062FF" w:rsidRPr="003C513C">
        <w:rPr>
          <w:sz w:val="22"/>
          <w:szCs w:val="22"/>
        </w:rPr>
        <w:t xml:space="preserve">, </w:t>
      </w:r>
      <w:r w:rsidR="004C0927" w:rsidRPr="003C513C">
        <w:rPr>
          <w:sz w:val="22"/>
          <w:szCs w:val="22"/>
        </w:rPr>
        <w:t xml:space="preserve">а также в соответствии с Федеральным закон от 24 июля 2007 года № 209-ФЗ «О развитии малого и среднего предпринимательства в Российской Федерации», </w:t>
      </w:r>
      <w:r w:rsidR="00B062FF" w:rsidRPr="003C513C">
        <w:rPr>
          <w:sz w:val="22"/>
          <w:szCs w:val="22"/>
        </w:rPr>
        <w:t xml:space="preserve">с другой стороны, именуемые вместе «Стороны», </w:t>
      </w:r>
      <w:r w:rsidR="005D6C62" w:rsidRPr="003C513C">
        <w:rPr>
          <w:sz w:val="22"/>
          <w:szCs w:val="22"/>
        </w:rPr>
        <w:t>на основании протокола _______________</w:t>
      </w:r>
      <w:r w:rsidR="00B062FF" w:rsidRPr="003C513C">
        <w:rPr>
          <w:sz w:val="22"/>
          <w:szCs w:val="22"/>
        </w:rPr>
        <w:t>заключили настоящ</w:t>
      </w:r>
      <w:r w:rsidR="00222C2A" w:rsidRPr="003C513C">
        <w:rPr>
          <w:sz w:val="22"/>
          <w:szCs w:val="22"/>
        </w:rPr>
        <w:t>ий</w:t>
      </w:r>
      <w:r w:rsidR="00141176" w:rsidRPr="003C513C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97534F" w:rsidRPr="0012313D" w:rsidRDefault="0097534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1568F">
      <w:pPr>
        <w:pStyle w:val="mystyle"/>
        <w:numPr>
          <w:ilvl w:val="1"/>
          <w:numId w:val="20"/>
        </w:numPr>
        <w:tabs>
          <w:tab w:val="num" w:pos="0"/>
        </w:tabs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1465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5D164A" w:rsidP="005D164A">
            <w:pPr>
              <w:pStyle w:val="mystyle"/>
              <w:ind w:firstLine="35"/>
              <w:jc w:val="center"/>
              <w:rPr>
                <w:sz w:val="16"/>
                <w:szCs w:val="16"/>
              </w:rPr>
            </w:pPr>
            <w:r w:rsidRPr="005D164A">
              <w:rPr>
                <w:sz w:val="16"/>
                <w:szCs w:val="16"/>
                <w:lang w:val="ru-RU"/>
              </w:rPr>
              <w:t>70:06:0101001:2613</w:t>
            </w:r>
          </w:p>
        </w:tc>
        <w:tc>
          <w:tcPr>
            <w:tcW w:w="2412" w:type="dxa"/>
            <w:vAlign w:val="center"/>
          </w:tcPr>
          <w:p w:rsidR="00361CE3" w:rsidRPr="00121CC9" w:rsidRDefault="005D164A" w:rsidP="00A9557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164A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поселение, с. Каргасок, ул. Гоголя, 5</w:t>
            </w:r>
          </w:p>
        </w:tc>
        <w:tc>
          <w:tcPr>
            <w:tcW w:w="3684" w:type="dxa"/>
            <w:vAlign w:val="center"/>
          </w:tcPr>
          <w:p w:rsidR="00361CE3" w:rsidRPr="0012313D" w:rsidRDefault="005D164A" w:rsidP="005D164A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Магазины</w:t>
            </w:r>
          </w:p>
        </w:tc>
        <w:tc>
          <w:tcPr>
            <w:tcW w:w="1136" w:type="dxa"/>
            <w:vAlign w:val="center"/>
          </w:tcPr>
          <w:p w:rsidR="00361CE3" w:rsidRPr="0012313D" w:rsidRDefault="005D164A" w:rsidP="00AD126D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313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B9656E" w:rsidRDefault="00B8035A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</w:t>
      </w:r>
    </w:p>
    <w:p w:rsidR="0007248F" w:rsidRPr="0012313D" w:rsidRDefault="00B8035A" w:rsidP="00B9656E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8F5AFB" w:rsidRPr="008F5AFB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Администрация Каргасокского района</w:t>
      </w:r>
    </w:p>
    <w:p w:rsidR="008F5AFB" w:rsidRPr="008F5AFB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636700, Томская область, с. Каргасок,</w:t>
      </w:r>
    </w:p>
    <w:p w:rsidR="008F5AFB" w:rsidRPr="008F5AFB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ул. Пушкина, 31</w:t>
      </w:r>
    </w:p>
    <w:p w:rsidR="008F5AFB" w:rsidRPr="008F5AFB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УФК по Томской области (Администрация Каргасокского района; л/с 04653003850)</w:t>
      </w:r>
    </w:p>
    <w:p w:rsidR="008F5AFB" w:rsidRPr="008F5AFB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ИНН 7006000289, КПП 700601001</w:t>
      </w:r>
    </w:p>
    <w:p w:rsidR="008F5AFB" w:rsidRPr="008F5AFB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 xml:space="preserve">В Отделении Томск Банка России// УФК по </w:t>
      </w:r>
    </w:p>
    <w:p w:rsidR="008F5AFB" w:rsidRPr="008F5AFB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Томской области, г. Томск</w:t>
      </w:r>
    </w:p>
    <w:p w:rsidR="008F5AFB" w:rsidRPr="008F5AFB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 xml:space="preserve">БИК 016902004; </w:t>
      </w:r>
    </w:p>
    <w:p w:rsidR="008F5AFB" w:rsidRPr="008F5AFB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ОКТМО: Каргасокский район 69624000</w:t>
      </w:r>
    </w:p>
    <w:p w:rsidR="008F5AFB" w:rsidRPr="008F5AFB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Единый Казначейский счет 40102810245370000058</w:t>
      </w:r>
    </w:p>
    <w:p w:rsidR="008F5AFB" w:rsidRPr="008F5AFB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Казначейский счет 03100643000000016500</w:t>
      </w:r>
    </w:p>
    <w:p w:rsidR="00B033E2" w:rsidRDefault="008F5AFB" w:rsidP="008F5AFB">
      <w:pPr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КБК 910 1 11 05013 05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Pr="00B40C1E" w:rsidRDefault="00B40C1E" w:rsidP="00B1568F">
      <w:pPr>
        <w:ind w:firstLine="284"/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 xml:space="preserve"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</w:t>
      </w:r>
      <w:r w:rsidRPr="00B40C1E">
        <w:rPr>
          <w:color w:val="000000" w:themeColor="text1"/>
          <w:sz w:val="22"/>
        </w:rPr>
        <w:lastRenderedPageBreak/>
        <w:t>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6F4E8F" w:rsidRPr="0012313D" w:rsidRDefault="006F4E8F" w:rsidP="00B1568F">
      <w:pPr>
        <w:ind w:firstLine="284"/>
        <w:jc w:val="center"/>
        <w:rPr>
          <w:sz w:val="22"/>
          <w:szCs w:val="22"/>
        </w:rPr>
      </w:pPr>
    </w:p>
    <w:p w:rsidR="00B9656E" w:rsidRDefault="00B9656E" w:rsidP="00B1568F">
      <w:pPr>
        <w:ind w:firstLine="284"/>
        <w:jc w:val="center"/>
        <w:rPr>
          <w:sz w:val="22"/>
          <w:szCs w:val="22"/>
        </w:rPr>
      </w:pP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4B0321">
        <w:rPr>
          <w:sz w:val="22"/>
          <w:szCs w:val="22"/>
        </w:rPr>
        <w:t xml:space="preserve">заключён </w:t>
      </w:r>
      <w:r w:rsidR="002433C5" w:rsidRPr="004B0321">
        <w:rPr>
          <w:b/>
          <w:sz w:val="22"/>
          <w:szCs w:val="22"/>
        </w:rPr>
        <w:t xml:space="preserve">на срок </w:t>
      </w:r>
      <w:r w:rsidR="005D164A">
        <w:rPr>
          <w:b/>
          <w:sz w:val="22"/>
          <w:szCs w:val="22"/>
        </w:rPr>
        <w:t>1</w:t>
      </w:r>
      <w:r w:rsidR="00121CC9" w:rsidRPr="004B0321">
        <w:rPr>
          <w:b/>
          <w:sz w:val="22"/>
          <w:szCs w:val="22"/>
        </w:rPr>
        <w:t xml:space="preserve"> год</w:t>
      </w:r>
      <w:r w:rsidR="004B0321" w:rsidRPr="004B0321">
        <w:rPr>
          <w:b/>
          <w:sz w:val="22"/>
          <w:szCs w:val="22"/>
        </w:rPr>
        <w:t>а</w:t>
      </w:r>
      <w:r w:rsidR="00121CC9" w:rsidRPr="004B0321">
        <w:rPr>
          <w:b/>
          <w:sz w:val="22"/>
          <w:szCs w:val="22"/>
        </w:rPr>
        <w:t xml:space="preserve"> </w:t>
      </w:r>
      <w:r w:rsidR="007165EC" w:rsidRPr="004B0321">
        <w:rPr>
          <w:b/>
          <w:sz w:val="22"/>
          <w:szCs w:val="22"/>
        </w:rPr>
        <w:t>6</w:t>
      </w:r>
      <w:r w:rsidR="00121CC9" w:rsidRPr="004B0321">
        <w:rPr>
          <w:b/>
          <w:sz w:val="22"/>
          <w:szCs w:val="22"/>
        </w:rPr>
        <w:t xml:space="preserve"> месяцев</w:t>
      </w:r>
      <w:r w:rsidR="00CC7C44" w:rsidRPr="004B0321">
        <w:rPr>
          <w:b/>
          <w:sz w:val="22"/>
          <w:szCs w:val="22"/>
        </w:rPr>
        <w:t xml:space="preserve"> </w:t>
      </w:r>
      <w:r w:rsidR="00CC7C44" w:rsidRPr="004B0321">
        <w:rPr>
          <w:sz w:val="22"/>
          <w:szCs w:val="22"/>
        </w:rPr>
        <w:t>и считается</w:t>
      </w:r>
      <w:r w:rsidR="00CC7C44" w:rsidRPr="008E40EE">
        <w:rPr>
          <w:sz w:val="22"/>
          <w:szCs w:val="22"/>
        </w:rPr>
        <w:t xml:space="preserve"> заключенным с даты его</w:t>
      </w:r>
      <w:r w:rsidR="00CC7C44" w:rsidRPr="00CC7C44">
        <w:rPr>
          <w:sz w:val="22"/>
          <w:szCs w:val="22"/>
        </w:rPr>
        <w:t xml:space="preserve">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B1568F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</w:t>
      </w:r>
      <w:r w:rsidR="00000402">
        <w:rPr>
          <w:sz w:val="22"/>
          <w:szCs w:val="22"/>
        </w:rPr>
        <w:t xml:space="preserve">в том числе неисполнении пункта 2.1 договора в течение 2 сроков оплаты подряд, </w:t>
      </w:r>
      <w:r w:rsidR="000F3B9D">
        <w:rPr>
          <w:sz w:val="22"/>
          <w:szCs w:val="22"/>
        </w:rPr>
        <w:t xml:space="preserve">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97534F" w:rsidRPr="0012313D" w:rsidRDefault="0097534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 xml:space="preserve">. </w:t>
      </w:r>
      <w:r w:rsidR="002C51AF" w:rsidRPr="0012313D">
        <w:rPr>
          <w:sz w:val="22"/>
          <w:szCs w:val="22"/>
        </w:rPr>
        <w:t>Использовать полученный в аренду земельный участок в соо</w:t>
      </w:r>
      <w:r w:rsidR="002C51AF">
        <w:rPr>
          <w:sz w:val="22"/>
          <w:szCs w:val="22"/>
        </w:rPr>
        <w:t>тветствии с целевым назначением и с соблюдением земельного и градостроительного законодательства</w:t>
      </w:r>
      <w:r w:rsidR="002C51AF" w:rsidRPr="001A4536">
        <w:rPr>
          <w:sz w:val="22"/>
          <w:szCs w:val="22"/>
        </w:rPr>
        <w:t xml:space="preserve"> </w:t>
      </w:r>
      <w:r w:rsidR="002C51AF" w:rsidRPr="0012313D">
        <w:rPr>
          <w:sz w:val="22"/>
          <w:szCs w:val="22"/>
        </w:rPr>
        <w:t>РФ</w:t>
      </w:r>
      <w:r w:rsidRPr="0012313D">
        <w:rPr>
          <w:sz w:val="22"/>
          <w:szCs w:val="22"/>
        </w:rPr>
        <w:t>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 xml:space="preserve"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</w:t>
      </w:r>
      <w:r w:rsidR="001139AB" w:rsidRPr="007359FB">
        <w:rPr>
          <w:sz w:val="22"/>
          <w:szCs w:val="22"/>
        </w:rPr>
        <w:lastRenderedPageBreak/>
        <w:t>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t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EE054E" w:rsidRDefault="00EE054E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97534F" w:rsidRPr="00DD2FDE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t>6. ОГРАНИЧЕНИЯ ИСПОЛЬЗОВАНИЯ И ОБРЕМЕНЕНИЯ УЧАСТКА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9402F8">
        <w:rPr>
          <w:sz w:val="22"/>
          <w:szCs w:val="22"/>
        </w:rPr>
        <w:t>6.</w:t>
      </w:r>
      <w:r w:rsidR="00D85085">
        <w:rPr>
          <w:sz w:val="22"/>
          <w:szCs w:val="22"/>
        </w:rPr>
        <w:t>1</w:t>
      </w:r>
      <w:r w:rsidRPr="009402F8">
        <w:rPr>
          <w:sz w:val="22"/>
          <w:szCs w:val="22"/>
        </w:rPr>
        <w:t>. Продавец удостоверяет и гарантирует,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</w:t>
      </w:r>
      <w:r w:rsidR="00D85085">
        <w:rPr>
          <w:sz w:val="22"/>
          <w:szCs w:val="22"/>
        </w:rPr>
        <w:t>2</w:t>
      </w:r>
      <w:r w:rsidRPr="0097534F">
        <w:rPr>
          <w:sz w:val="22"/>
          <w:szCs w:val="22"/>
        </w:rPr>
        <w:t>. Обременения земельного участка правами третьих лиц:</w:t>
      </w:r>
    </w:p>
    <w:p w:rsidR="00B9656E" w:rsidRDefault="00B9656E" w:rsidP="00B9656E">
      <w:pPr>
        <w:pStyle w:val="aa"/>
        <w:numPr>
          <w:ilvl w:val="0"/>
          <w:numId w:val="31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B9656E">
        <w:rPr>
          <w:sz w:val="22"/>
          <w:szCs w:val="22"/>
        </w:rPr>
        <w:t>Земельный участок частично расположен в границах зоны с реестровым номером 70:06-6.328 от 14.01.2019, вид/наименование: Охранная зона ВЛ-10кВ КР-1018, тип: Охранная зона инженерных коммуникаций, дата решения: 08.11.2018, номер решения: 138, наименование ОГВ/ОМСУ: Публичное Акционерное общество "Томская распределительная компания", дата решения: 10.11.2018, номер решения: б/н, дата решения: 01.01.2004, номер решения: б/н, наименование ОГВ/ОМСУ: Публичное Акционерное общество "Томская распределительная компания";</w:t>
      </w:r>
    </w:p>
    <w:p w:rsidR="00B9656E" w:rsidRDefault="00B9656E" w:rsidP="00B9656E">
      <w:pPr>
        <w:pStyle w:val="aa"/>
        <w:numPr>
          <w:ilvl w:val="0"/>
          <w:numId w:val="31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B9656E">
        <w:rPr>
          <w:sz w:val="22"/>
          <w:szCs w:val="22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c 19.12.2016; Реквизиты документа-основания: Карта-план от 28.02.2015 № - выдан: МО "Каргасокское сельское поселение".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c 14.01.2019; Реквизиты документа-основания: Доверенность от 08.11.2018 № 138 выдан: Публичное Акционерное общество "Томская распределительная компания"; Текстовое и графическое описание местоположения границ территории объекта культурного наследия или зон с особыми условиями использования территорий с перечнем координат характерных точек этих границ от 10.11.2018 № б/н; Разделительный баланс ОАО "Томскэнерго" по состоянию на 01.01.2004г. от 01.01.2004 № б/н выдан: Публичное Акционерное общество "Томская распределительная компания";</w:t>
      </w:r>
    </w:p>
    <w:p w:rsidR="00B9656E" w:rsidRDefault="00B9656E" w:rsidP="00B9656E">
      <w:pPr>
        <w:pStyle w:val="aa"/>
        <w:numPr>
          <w:ilvl w:val="0"/>
          <w:numId w:val="31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B9656E">
        <w:rPr>
          <w:sz w:val="22"/>
          <w:szCs w:val="22"/>
        </w:rPr>
        <w:t xml:space="preserve">70:06:0101001:2613/1, площадью 19 </w:t>
      </w:r>
      <w:proofErr w:type="spellStart"/>
      <w:r w:rsidRPr="00B9656E">
        <w:rPr>
          <w:sz w:val="22"/>
          <w:szCs w:val="22"/>
        </w:rPr>
        <w:t>кв.м</w:t>
      </w:r>
      <w:proofErr w:type="spellEnd"/>
      <w:r w:rsidRPr="00B9656E">
        <w:rPr>
          <w:sz w:val="22"/>
          <w:szCs w:val="22"/>
        </w:rPr>
        <w:t>.: Вид ограничения (обременения): Ограничения прав на земельный участок, предусмотренные статьями 56, 56.1 Земельного кодекса Российской Федерации; Реквизиты документа-основания: Карта-план от 28.02.2015 № - выдан: МО "Каргасокское сельское поселение"; Содержание ограничения (обременения): Ограничения, установленные Постановлением Правительства №878 от 20.11.2000; Реестровый номер границы: 70.06.2.166;</w:t>
      </w:r>
    </w:p>
    <w:p w:rsidR="00B9656E" w:rsidRPr="00B9656E" w:rsidRDefault="00B9656E" w:rsidP="00B9656E">
      <w:pPr>
        <w:pStyle w:val="aa"/>
        <w:numPr>
          <w:ilvl w:val="0"/>
          <w:numId w:val="31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B9656E">
        <w:rPr>
          <w:sz w:val="22"/>
          <w:szCs w:val="22"/>
        </w:rPr>
        <w:t xml:space="preserve">70:06:0101001:2613/2, площадью 79.77 </w:t>
      </w:r>
      <w:proofErr w:type="spellStart"/>
      <w:r w:rsidRPr="00B9656E">
        <w:rPr>
          <w:sz w:val="22"/>
          <w:szCs w:val="22"/>
        </w:rPr>
        <w:t>кв.м</w:t>
      </w:r>
      <w:proofErr w:type="spellEnd"/>
      <w:r w:rsidRPr="00B9656E">
        <w:rPr>
          <w:sz w:val="22"/>
          <w:szCs w:val="22"/>
        </w:rPr>
        <w:t>.: Вид ограничения (обременения): Ограничения прав на земельный участок, предусмотренные статьями 56, 56.1 Земельного кодекса Российской Федерации; Реквизиты документа-основания: Доверенность от 08.11.2018 № 138 выдан: Публичное Акционерное общество "Томская распределительная компания"; Текстовое и графическое описание местоположения границ территории объекта культурного наследия или зон с особыми условиями использования территорий с перечнем координат характерных точек этих границ от 10.11.2018 № б/н; Разделительный баланс ОАО "Томскэнерго" по состоянию на 01.01.2004г. от 01.01.2004 № б/н выдан: Публичное Акционерное общество "Томская распределительная компания"; Содержание ограничения (обременения): Ограничения использования объектов недвижимости в границах охранной зоны воздушной линии электропередач установлены в соответствии с п. 8-15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РФ № 160 от 24.02.2009 г. (в ред. от 26.08.2013г.)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Реестровый номер границы: 70:06-6.328; Вид объекта реестра границ: Зона с особыми условиями использования территории; Вид зоны по документу: Охранная зона ВЛ-10кВ КР-1018; Тип зоны: Охранная зона инженерных коммуникаций.</w:t>
      </w: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B9656E">
          <w:type w:val="continuous"/>
          <w:pgSz w:w="11909" w:h="16834"/>
          <w:pgMar w:top="851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8F5AFB" w:rsidRPr="008F5AFB" w:rsidRDefault="008F5AFB" w:rsidP="008F5AFB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Администрация Каргасокского района</w:t>
      </w:r>
    </w:p>
    <w:p w:rsidR="008F5AFB" w:rsidRPr="008F5AFB" w:rsidRDefault="008F5AFB" w:rsidP="008F5AFB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636700, Томская область, с. Каргасок,</w:t>
      </w:r>
    </w:p>
    <w:p w:rsidR="008F5AFB" w:rsidRPr="008F5AFB" w:rsidRDefault="008F5AFB" w:rsidP="008F5AFB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ул. Пушкина, 31</w:t>
      </w:r>
    </w:p>
    <w:p w:rsidR="008F5AFB" w:rsidRPr="008F5AFB" w:rsidRDefault="008F5AFB" w:rsidP="008F5AFB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УФК по Томской области (Администрация Каргасокского района; л/с 04653003850)</w:t>
      </w:r>
    </w:p>
    <w:p w:rsidR="008F5AFB" w:rsidRPr="008F5AFB" w:rsidRDefault="008F5AFB" w:rsidP="008F5AFB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ИНН 7006000289, КПП 700601001</w:t>
      </w:r>
    </w:p>
    <w:p w:rsidR="008F5AFB" w:rsidRPr="008F5AFB" w:rsidRDefault="008F5AFB" w:rsidP="008F5AFB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 xml:space="preserve">В Отделении Томск Банка России// УФК по </w:t>
      </w:r>
    </w:p>
    <w:p w:rsidR="008F5AFB" w:rsidRPr="008F5AFB" w:rsidRDefault="008F5AFB" w:rsidP="008F5AFB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Томской области, г. Томск</w:t>
      </w:r>
    </w:p>
    <w:p w:rsidR="008F5AFB" w:rsidRPr="008F5AFB" w:rsidRDefault="008F5AFB" w:rsidP="008F5AFB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 xml:space="preserve">БИК 016902004; </w:t>
      </w:r>
    </w:p>
    <w:p w:rsidR="008F5AFB" w:rsidRPr="008F5AFB" w:rsidRDefault="008F5AFB" w:rsidP="008F5AFB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ОКТМО: Каргасокский район 69624000</w:t>
      </w:r>
    </w:p>
    <w:p w:rsidR="008F5AFB" w:rsidRPr="008F5AFB" w:rsidRDefault="008F5AFB" w:rsidP="008F5AFB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Единый Казначейский счет 40102810245370000058</w:t>
      </w:r>
    </w:p>
    <w:p w:rsidR="008F5AFB" w:rsidRPr="008F5AFB" w:rsidRDefault="008F5AFB" w:rsidP="008F5AFB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Казначейский счет 03100643000000016500</w:t>
      </w:r>
    </w:p>
    <w:p w:rsidR="00CC7C44" w:rsidRPr="0012313D" w:rsidRDefault="008F5AFB" w:rsidP="008F5AFB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8F5AFB">
        <w:rPr>
          <w:sz w:val="22"/>
          <w:szCs w:val="22"/>
        </w:rPr>
        <w:t>КБК 910 1 11 05013 05 0000 120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4C0927" w:rsidRDefault="004C092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05506E" w:rsidRPr="0012313D" w:rsidRDefault="0005506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0"/>
        </w:tabs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</w:t>
      </w: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4C0927" w:rsidRDefault="004C092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4C0927" w:rsidRDefault="004C092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4C0927" w:rsidRDefault="004C092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Pr="0012313D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D85085" w:rsidRPr="0012313D" w:rsidRDefault="00D85085" w:rsidP="00B1568F">
      <w:pPr>
        <w:tabs>
          <w:tab w:val="left" w:pos="3960"/>
        </w:tabs>
        <w:ind w:firstLine="284"/>
        <w:rPr>
          <w:sz w:val="22"/>
          <w:szCs w:val="22"/>
        </w:rPr>
        <w:sectPr w:rsidR="00D85085" w:rsidRPr="0012313D" w:rsidSect="00ED5CCA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B9656E" w:rsidRDefault="00B9656E" w:rsidP="00B1568F">
      <w:pPr>
        <w:ind w:firstLine="284"/>
        <w:jc w:val="center"/>
        <w:rPr>
          <w:bCs/>
          <w:sz w:val="22"/>
          <w:szCs w:val="22"/>
        </w:rPr>
      </w:pPr>
    </w:p>
    <w:p w:rsidR="00B9656E" w:rsidRDefault="00B9656E" w:rsidP="00B1568F">
      <w:pPr>
        <w:ind w:firstLine="284"/>
        <w:jc w:val="center"/>
        <w:rPr>
          <w:bCs/>
          <w:sz w:val="22"/>
          <w:szCs w:val="22"/>
        </w:rPr>
      </w:pPr>
    </w:p>
    <w:p w:rsidR="00B9656E" w:rsidRDefault="00B9656E" w:rsidP="00B1568F">
      <w:pPr>
        <w:ind w:firstLine="284"/>
        <w:jc w:val="center"/>
        <w:rPr>
          <w:bCs/>
          <w:sz w:val="22"/>
          <w:szCs w:val="22"/>
        </w:rPr>
      </w:pPr>
    </w:p>
    <w:p w:rsidR="00B9656E" w:rsidRDefault="00B9656E" w:rsidP="00B1568F">
      <w:pPr>
        <w:ind w:firstLine="284"/>
        <w:jc w:val="center"/>
        <w:rPr>
          <w:bCs/>
          <w:sz w:val="22"/>
          <w:szCs w:val="22"/>
        </w:rPr>
      </w:pPr>
    </w:p>
    <w:p w:rsidR="00B9656E" w:rsidRDefault="00B9656E" w:rsidP="00B1568F">
      <w:pPr>
        <w:ind w:firstLine="284"/>
        <w:jc w:val="center"/>
        <w:rPr>
          <w:bCs/>
          <w:sz w:val="22"/>
          <w:szCs w:val="22"/>
        </w:rPr>
      </w:pPr>
    </w:p>
    <w:p w:rsidR="00B9656E" w:rsidRDefault="00B9656E" w:rsidP="00B1568F">
      <w:pPr>
        <w:ind w:firstLine="284"/>
        <w:jc w:val="center"/>
        <w:rPr>
          <w:bCs/>
          <w:sz w:val="22"/>
          <w:szCs w:val="22"/>
        </w:rPr>
      </w:pPr>
    </w:p>
    <w:p w:rsidR="00B9656E" w:rsidRDefault="00B9656E" w:rsidP="00B1568F">
      <w:pPr>
        <w:ind w:firstLine="284"/>
        <w:jc w:val="center"/>
        <w:rPr>
          <w:bCs/>
          <w:sz w:val="22"/>
          <w:szCs w:val="22"/>
        </w:rPr>
      </w:pPr>
    </w:p>
    <w:p w:rsidR="00B9656E" w:rsidRDefault="00B9656E" w:rsidP="00B1568F">
      <w:pPr>
        <w:ind w:firstLine="284"/>
        <w:jc w:val="center"/>
        <w:rPr>
          <w:bCs/>
          <w:sz w:val="22"/>
          <w:szCs w:val="22"/>
        </w:rPr>
      </w:pPr>
    </w:p>
    <w:p w:rsidR="00B9656E" w:rsidRDefault="00B9656E" w:rsidP="00B1568F">
      <w:pPr>
        <w:ind w:firstLine="284"/>
        <w:jc w:val="center"/>
        <w:rPr>
          <w:bCs/>
          <w:sz w:val="22"/>
          <w:szCs w:val="22"/>
        </w:rPr>
      </w:pPr>
    </w:p>
    <w:p w:rsidR="00B9656E" w:rsidRDefault="00B9656E" w:rsidP="00B1568F">
      <w:pPr>
        <w:ind w:firstLine="284"/>
        <w:jc w:val="center"/>
        <w:rPr>
          <w:bCs/>
          <w:sz w:val="22"/>
          <w:szCs w:val="22"/>
        </w:rPr>
      </w:pPr>
    </w:p>
    <w:p w:rsidR="00B9656E" w:rsidRDefault="00B9656E" w:rsidP="00B1568F">
      <w:pPr>
        <w:ind w:firstLine="284"/>
        <w:jc w:val="center"/>
        <w:rPr>
          <w:bCs/>
          <w:sz w:val="22"/>
          <w:szCs w:val="22"/>
        </w:rPr>
      </w:pPr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bookmarkStart w:id="0" w:name="_GoBack"/>
      <w:bookmarkEnd w:id="0"/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4C0927">
        <w:rPr>
          <w:sz w:val="22"/>
          <w:szCs w:val="22"/>
        </w:rPr>
        <w:t>2021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5D164A" w:rsidRPr="0012313D" w:rsidTr="00A23164">
        <w:trPr>
          <w:jc w:val="center"/>
        </w:trPr>
        <w:tc>
          <w:tcPr>
            <w:tcW w:w="562" w:type="dxa"/>
            <w:vAlign w:val="center"/>
          </w:tcPr>
          <w:p w:rsidR="005D164A" w:rsidRPr="0012313D" w:rsidRDefault="005D164A" w:rsidP="005D164A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5D164A" w:rsidRPr="0021324C" w:rsidRDefault="005D164A" w:rsidP="005D164A">
            <w:pPr>
              <w:pStyle w:val="mystyle"/>
              <w:ind w:firstLine="35"/>
              <w:jc w:val="center"/>
              <w:rPr>
                <w:sz w:val="16"/>
                <w:szCs w:val="16"/>
              </w:rPr>
            </w:pPr>
            <w:r w:rsidRPr="005D164A">
              <w:rPr>
                <w:sz w:val="16"/>
                <w:szCs w:val="16"/>
                <w:lang w:val="ru-RU"/>
              </w:rPr>
              <w:t>70:06:0101001:2613</w:t>
            </w:r>
          </w:p>
        </w:tc>
        <w:tc>
          <w:tcPr>
            <w:tcW w:w="2412" w:type="dxa"/>
            <w:vAlign w:val="center"/>
          </w:tcPr>
          <w:p w:rsidR="005D164A" w:rsidRPr="00121CC9" w:rsidRDefault="005D164A" w:rsidP="005D164A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D164A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поселение, с. Каргасок, ул. Гоголя, 5</w:t>
            </w:r>
          </w:p>
        </w:tc>
        <w:tc>
          <w:tcPr>
            <w:tcW w:w="3684" w:type="dxa"/>
            <w:vAlign w:val="center"/>
          </w:tcPr>
          <w:p w:rsidR="005D164A" w:rsidRPr="0012313D" w:rsidRDefault="005D164A" w:rsidP="005D164A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Магазины</w:t>
            </w:r>
          </w:p>
        </w:tc>
        <w:tc>
          <w:tcPr>
            <w:tcW w:w="1136" w:type="dxa"/>
            <w:vAlign w:val="center"/>
          </w:tcPr>
          <w:p w:rsidR="005D164A" w:rsidRPr="0012313D" w:rsidRDefault="005D164A" w:rsidP="005D164A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313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="00EE054E">
        <w:rPr>
          <w:sz w:val="22"/>
          <w:szCs w:val="22"/>
        </w:rPr>
        <w:t xml:space="preserve"> от «__» ______ 202</w:t>
      </w:r>
      <w:r w:rsidR="004C0927">
        <w:rPr>
          <w:sz w:val="22"/>
          <w:szCs w:val="22"/>
        </w:rPr>
        <w:t>1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B9656E">
      <w:type w:val="continuous"/>
      <w:pgSz w:w="11909" w:h="16834"/>
      <w:pgMar w:top="851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B5263"/>
    <w:multiLevelType w:val="hybridMultilevel"/>
    <w:tmpl w:val="BC602042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1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3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5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0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2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5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22"/>
  </w:num>
  <w:num w:numId="7">
    <w:abstractNumId w:val="23"/>
  </w:num>
  <w:num w:numId="8">
    <w:abstractNumId w:val="15"/>
  </w:num>
  <w:num w:numId="9">
    <w:abstractNumId w:val="12"/>
  </w:num>
  <w:num w:numId="10">
    <w:abstractNumId w:val="28"/>
  </w:num>
  <w:num w:numId="11">
    <w:abstractNumId w:val="3"/>
  </w:num>
  <w:num w:numId="12">
    <w:abstractNumId w:val="13"/>
  </w:num>
  <w:num w:numId="13">
    <w:abstractNumId w:val="26"/>
  </w:num>
  <w:num w:numId="14">
    <w:abstractNumId w:val="0"/>
  </w:num>
  <w:num w:numId="15">
    <w:abstractNumId w:val="17"/>
  </w:num>
  <w:num w:numId="16">
    <w:abstractNumId w:val="27"/>
  </w:num>
  <w:num w:numId="17">
    <w:abstractNumId w:val="2"/>
  </w:num>
  <w:num w:numId="18">
    <w:abstractNumId w:val="5"/>
  </w:num>
  <w:num w:numId="19">
    <w:abstractNumId w:val="1"/>
  </w:num>
  <w:num w:numId="20">
    <w:abstractNumId w:val="24"/>
  </w:num>
  <w:num w:numId="21">
    <w:abstractNumId w:val="10"/>
  </w:num>
  <w:num w:numId="22">
    <w:abstractNumId w:val="18"/>
  </w:num>
  <w:num w:numId="23">
    <w:abstractNumId w:val="19"/>
  </w:num>
  <w:num w:numId="24">
    <w:abstractNumId w:val="4"/>
  </w:num>
  <w:num w:numId="25">
    <w:abstractNumId w:val="14"/>
  </w:num>
  <w:num w:numId="26">
    <w:abstractNumId w:val="16"/>
  </w:num>
  <w:num w:numId="27">
    <w:abstractNumId w:val="20"/>
  </w:num>
  <w:num w:numId="28">
    <w:abstractNumId w:val="21"/>
  </w:num>
  <w:num w:numId="29">
    <w:abstractNumId w:val="25"/>
  </w:num>
  <w:num w:numId="30">
    <w:abstractNumId w:val="2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0402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5506E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628B7"/>
    <w:rsid w:val="00166D35"/>
    <w:rsid w:val="001877F8"/>
    <w:rsid w:val="001906F1"/>
    <w:rsid w:val="00192355"/>
    <w:rsid w:val="001954EC"/>
    <w:rsid w:val="001A67C8"/>
    <w:rsid w:val="001B172C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46A33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C51AF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2435"/>
    <w:rsid w:val="00396E0F"/>
    <w:rsid w:val="00397D37"/>
    <w:rsid w:val="003A12E9"/>
    <w:rsid w:val="003A5E3D"/>
    <w:rsid w:val="003B1E2E"/>
    <w:rsid w:val="003B2506"/>
    <w:rsid w:val="003C513C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2EC5"/>
    <w:rsid w:val="0042494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27CC"/>
    <w:rsid w:val="0049519B"/>
    <w:rsid w:val="004A4BB7"/>
    <w:rsid w:val="004B0321"/>
    <w:rsid w:val="004B3589"/>
    <w:rsid w:val="004C0927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6EDA"/>
    <w:rsid w:val="00577011"/>
    <w:rsid w:val="0057720B"/>
    <w:rsid w:val="00580521"/>
    <w:rsid w:val="00586673"/>
    <w:rsid w:val="00591C91"/>
    <w:rsid w:val="00594688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6D71"/>
    <w:rsid w:val="005C70AD"/>
    <w:rsid w:val="005C7C3C"/>
    <w:rsid w:val="005D058C"/>
    <w:rsid w:val="005D164A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9098A"/>
    <w:rsid w:val="00691073"/>
    <w:rsid w:val="00694B56"/>
    <w:rsid w:val="006A36C0"/>
    <w:rsid w:val="006A5AEA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314A"/>
    <w:rsid w:val="00750BC0"/>
    <w:rsid w:val="00750E8B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793F"/>
    <w:rsid w:val="00805808"/>
    <w:rsid w:val="00806815"/>
    <w:rsid w:val="008068EF"/>
    <w:rsid w:val="00810399"/>
    <w:rsid w:val="00810554"/>
    <w:rsid w:val="0081456F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8F5AFB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C5865"/>
    <w:rsid w:val="009D0DA5"/>
    <w:rsid w:val="00A142D2"/>
    <w:rsid w:val="00A17F3F"/>
    <w:rsid w:val="00A3037B"/>
    <w:rsid w:val="00A31604"/>
    <w:rsid w:val="00A3198A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9557E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9656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3399"/>
    <w:rsid w:val="00E339AF"/>
    <w:rsid w:val="00E34117"/>
    <w:rsid w:val="00E40C95"/>
    <w:rsid w:val="00E41E81"/>
    <w:rsid w:val="00E5350E"/>
    <w:rsid w:val="00E61491"/>
    <w:rsid w:val="00E61C42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054E"/>
    <w:rsid w:val="00EE167F"/>
    <w:rsid w:val="00EE4351"/>
    <w:rsid w:val="00EF4B7A"/>
    <w:rsid w:val="00EF7A02"/>
    <w:rsid w:val="00F12E5F"/>
    <w:rsid w:val="00F16172"/>
    <w:rsid w:val="00F1683B"/>
    <w:rsid w:val="00F17800"/>
    <w:rsid w:val="00F274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A3A65-F81C-4FB7-9C25-CD12A6B9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Александр Садовик</cp:lastModifiedBy>
  <cp:revision>7</cp:revision>
  <cp:lastPrinted>2020-12-07T03:12:00Z</cp:lastPrinted>
  <dcterms:created xsi:type="dcterms:W3CDTF">2020-10-27T09:25:00Z</dcterms:created>
  <dcterms:modified xsi:type="dcterms:W3CDTF">2020-12-11T03:11:00Z</dcterms:modified>
</cp:coreProperties>
</file>